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WG2 NR Adhoc</w:t>
      </w:r>
      <w:r w:rsidRPr="00B266B0">
        <w:rPr>
          <w:bCs/>
          <w:noProof w:val="0"/>
          <w:sz w:val="24"/>
          <w:szCs w:val="24"/>
        </w:rPr>
        <w:tab/>
      </w:r>
      <w:r w:rsidR="00C6259F">
        <w:rPr>
          <w:bCs/>
          <w:noProof w:val="0"/>
          <w:sz w:val="24"/>
          <w:szCs w:val="24"/>
        </w:rPr>
        <w:t>R2-1700054</w:t>
      </w:r>
      <w:bookmarkStart w:id="1" w:name="_GoBack"/>
      <w:bookmarkEnd w:id="1"/>
    </w:p>
    <w:p w:rsidR="00CD4C7B" w:rsidRPr="00B266B0" w:rsidRDefault="00936071"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sidR="00506C28">
        <w:rPr>
          <w:rFonts w:eastAsia="SimSun"/>
          <w:noProof w:val="0"/>
          <w:sz w:val="24"/>
          <w:szCs w:val="24"/>
          <w:lang w:eastAsia="zh-CN"/>
        </w:rPr>
        <w:t>17</w:t>
      </w:r>
      <w:r w:rsidR="00C24650" w:rsidRPr="00C24650">
        <w:rPr>
          <w:rFonts w:eastAsia="SimSun"/>
          <w:noProof w:val="0"/>
          <w:sz w:val="24"/>
          <w:szCs w:val="24"/>
          <w:lang w:eastAsia="zh-CN"/>
        </w:rPr>
        <w:t xml:space="preserve"> - </w:t>
      </w:r>
      <w:r w:rsidR="00506C28">
        <w:rPr>
          <w:rFonts w:eastAsia="SimSun"/>
          <w:noProof w:val="0"/>
          <w:sz w:val="24"/>
          <w:szCs w:val="24"/>
          <w:lang w:eastAsia="zh-CN"/>
        </w:rPr>
        <w:t>19</w:t>
      </w:r>
      <w:r w:rsidR="00C24650" w:rsidRPr="00C24650">
        <w:rPr>
          <w:rFonts w:eastAsia="SimSun"/>
          <w:noProof w:val="0"/>
          <w:sz w:val="24"/>
          <w:szCs w:val="24"/>
          <w:lang w:eastAsia="zh-CN"/>
        </w:rPr>
        <w:t xml:space="preserve"> </w:t>
      </w:r>
      <w:r>
        <w:rPr>
          <w:rFonts w:eastAsia="SimSun"/>
          <w:noProof w:val="0"/>
          <w:sz w:val="24"/>
          <w:szCs w:val="24"/>
          <w:lang w:eastAsia="zh-CN"/>
        </w:rPr>
        <w:t xml:space="preserve">January </w:t>
      </w:r>
      <w:r w:rsidR="00C24650" w:rsidRPr="00C24650">
        <w:rPr>
          <w:rFonts w:eastAsia="SimSun"/>
          <w:noProof w:val="0"/>
          <w:sz w:val="24"/>
          <w:szCs w:val="24"/>
          <w:lang w:eastAsia="zh-CN"/>
        </w:rPr>
        <w:t>201</w:t>
      </w:r>
      <w:r>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4277F">
        <w:rPr>
          <w:rFonts w:cs="Arial"/>
          <w:b/>
          <w:bCs/>
          <w:sz w:val="24"/>
          <w:lang w:eastAsia="ja-JP"/>
        </w:rPr>
        <w:t>3.2.2.5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277F" w:rsidRPr="0094277F">
        <w:rPr>
          <w:rFonts w:ascii="Arial" w:hAnsi="Arial" w:cs="Arial"/>
          <w:b/>
          <w:bCs/>
          <w:sz w:val="24"/>
        </w:rPr>
        <w:t>UE capability aspects for LTE NR tight interworking</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4277F" w:rsidRPr="00A075EE">
        <w:rPr>
          <w:rFonts w:ascii="Arial" w:hAnsi="Arial" w:cs="Arial"/>
          <w:b/>
          <w:bCs/>
          <w:sz w:val="24"/>
        </w:rPr>
        <w:t>FS_ NR_newRAT</w:t>
      </w:r>
      <w:r w:rsidR="0094277F">
        <w:rPr>
          <w:rFonts w:ascii="Arial" w:hAnsi="Arial" w:cs="Arial"/>
          <w:b/>
          <w:bCs/>
          <w:sz w:val="24"/>
        </w:rPr>
        <w:t xml:space="preserve">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94277F" w:rsidRPr="00D44726" w:rsidRDefault="0094277F" w:rsidP="0094277F">
      <w:pPr>
        <w:jc w:val="center"/>
        <w:rPr>
          <w:b/>
          <w:lang w:eastAsia="ja-JP"/>
        </w:rPr>
      </w:pPr>
      <w:r w:rsidRPr="00C56E7B">
        <w:rPr>
          <w:b/>
          <w:lang w:eastAsia="ja-JP"/>
        </w:rPr>
        <w:t xml:space="preserve">Table </w:t>
      </w:r>
      <w:r>
        <w:rPr>
          <w:b/>
          <w:lang w:eastAsia="ja-JP"/>
        </w:rPr>
        <w:t>1</w:t>
      </w:r>
      <w:r w:rsidRPr="00C56E7B">
        <w:rPr>
          <w:b/>
          <w:lang w:eastAsia="ja-JP"/>
        </w:rPr>
        <w:t>: RAN2 agreements made in the RAN2#95</w:t>
      </w:r>
      <w:r>
        <w:rPr>
          <w:b/>
          <w:lang w:eastAsia="ja-JP"/>
        </w:rPr>
        <w:t>-bis</w:t>
      </w:r>
      <w:r w:rsidRPr="00C56E7B">
        <w:rPr>
          <w:b/>
          <w:lang w:eastAsia="ja-JP"/>
        </w:rPr>
        <w:t xml:space="preserve"> meeting</w:t>
      </w:r>
    </w:p>
    <w:p w:rsidR="0094277F" w:rsidRDefault="0094277F" w:rsidP="0094277F">
      <w:pPr>
        <w:pStyle w:val="Doc-text2"/>
        <w:pBdr>
          <w:top w:val="single" w:sz="4" w:space="1" w:color="auto"/>
          <w:left w:val="single" w:sz="4" w:space="4" w:color="auto"/>
          <w:bottom w:val="single" w:sz="4" w:space="1" w:color="auto"/>
          <w:right w:val="single" w:sz="4" w:space="4" w:color="auto"/>
        </w:pBdr>
      </w:pPr>
      <w:r>
        <w:t>Agreements:</w:t>
      </w:r>
    </w:p>
    <w:p w:rsidR="0094277F" w:rsidRDefault="0094277F" w:rsidP="0094277F">
      <w:pPr>
        <w:pStyle w:val="Doc-text2"/>
        <w:pBdr>
          <w:top w:val="single" w:sz="4" w:space="1" w:color="auto"/>
          <w:left w:val="single" w:sz="4" w:space="4" w:color="auto"/>
          <w:bottom w:val="single" w:sz="4" w:space="1" w:color="auto"/>
          <w:right w:val="single" w:sz="4" w:space="4" w:color="auto"/>
        </w:pBdr>
      </w:pPr>
      <w:r>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p>
    <w:p w:rsidR="0094277F" w:rsidRDefault="0094277F" w:rsidP="0094277F">
      <w:pPr>
        <w:pStyle w:val="Doc-text2"/>
        <w:pBdr>
          <w:top w:val="single" w:sz="4" w:space="1" w:color="auto"/>
          <w:left w:val="single" w:sz="4" w:space="4" w:color="auto"/>
          <w:bottom w:val="single" w:sz="4" w:space="1" w:color="auto"/>
          <w:right w:val="single" w:sz="4" w:space="4" w:color="auto"/>
        </w:pBdr>
      </w:pPr>
      <w:r>
        <w:t>RAN2 aim for a solution where the master node and secondary node are not required to comprehend each other’s UE configuration.</w:t>
      </w:r>
    </w:p>
    <w:p w:rsidR="0094277F" w:rsidRDefault="0094277F" w:rsidP="0094277F">
      <w:pPr>
        <w:pStyle w:val="Doc-text2"/>
        <w:pBdr>
          <w:top w:val="single" w:sz="4" w:space="1" w:color="auto"/>
          <w:left w:val="single" w:sz="4" w:space="4" w:color="auto"/>
          <w:bottom w:val="single" w:sz="4" w:space="1" w:color="auto"/>
          <w:right w:val="single" w:sz="4" w:space="4" w:color="auto"/>
        </w:pBdr>
      </w:pPr>
    </w:p>
    <w:p w:rsidR="0094277F" w:rsidRDefault="0094277F" w:rsidP="0094277F">
      <w:pPr>
        <w:rPr>
          <w:b/>
          <w:lang w:eastAsia="ja-JP"/>
        </w:rPr>
      </w:pPr>
    </w:p>
    <w:p w:rsidR="00577E94" w:rsidRDefault="00737F86" w:rsidP="00CD4C7B">
      <w:r>
        <w:t>During the previous RAN2 meetings the following agreements have been made with regards to the node capability coordination</w:t>
      </w:r>
      <w:r w:rsidR="00577E94">
        <w:t xml:space="preserve"> in LTE/NR tight interworking. In this contribution, we would like to discuss how the master node may be able to estimate whether LTE/NR tight interworking should be attempted for a given configuration, especially with the working assumption that case the master and secondary nodes are not required to understand/comprehend each other’s capabilities, and hence may not be able to estimate a priori, the expected performance of each other.</w:t>
      </w:r>
    </w:p>
    <w:p w:rsidR="00CD4C7B" w:rsidRPr="006E13D1" w:rsidRDefault="00CD4C7B" w:rsidP="00CD4C7B">
      <w:pPr>
        <w:pStyle w:val="Heading1"/>
      </w:pPr>
      <w:r w:rsidRPr="006E13D1">
        <w:t>2</w:t>
      </w:r>
      <w:r w:rsidRPr="006E13D1">
        <w:tab/>
        <w:t>Heading 1</w:t>
      </w:r>
    </w:p>
    <w:p w:rsidR="00AA1D98" w:rsidRDefault="00AA1D98" w:rsidP="00AA1D98">
      <w:r>
        <w:t>The three deployment scenarios that have been agreed to be studied as part of LTE-NR tight interworking are shown in Figure 1 below. These scenarios correspond to the non-standalone scenarios captured in RP-161266 [1] as scenarios 3, 4 and 7 respectively:</w:t>
      </w:r>
    </w:p>
    <w:p w:rsidR="00AA1D98" w:rsidRDefault="00AA1D98" w:rsidP="00AA1D98">
      <w:r>
        <w:t xml:space="preserve"> </w:t>
      </w:r>
      <w:r w:rsidRPr="00B529A9">
        <w:rPr>
          <w:lang w:val="en-IN"/>
        </w:rPr>
        <w:object w:dxaOrig="12815" w:dyaOrig="3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7.7pt" o:ole="">
            <v:imagedata r:id="rId7" o:title=""/>
          </v:shape>
          <o:OLEObject Type="Embed" ProgID="Visio.Drawing.11" ShapeID="_x0000_i1025" DrawAspect="Content" ObjectID="_1545155217" r:id="rId8"/>
        </w:object>
      </w:r>
    </w:p>
    <w:p w:rsidR="00AA1D98" w:rsidRPr="007B25FD" w:rsidRDefault="00AA1D98" w:rsidP="00AA1D98">
      <w:pPr>
        <w:jc w:val="center"/>
        <w:rPr>
          <w:rFonts w:ascii="Arial" w:hAnsi="Arial"/>
          <w:b/>
        </w:rPr>
      </w:pPr>
      <w:r w:rsidRPr="007B25FD">
        <w:rPr>
          <w:rFonts w:ascii="Arial" w:hAnsi="Arial"/>
          <w:b/>
        </w:rPr>
        <w:t>Figure 1: LTE-NR tight interworking deployment scenarios (RP-161266)</w:t>
      </w:r>
    </w:p>
    <w:p w:rsidR="00CD4C7B" w:rsidRPr="006E13D1" w:rsidRDefault="00AA1D98" w:rsidP="001B49C9">
      <w:r>
        <w:t xml:space="preserve">The discussion in the rest of the document is applicable for Scenario 3 but could also be applied for 4 and 7. </w:t>
      </w:r>
    </w:p>
    <w:p w:rsidR="00CD4C7B" w:rsidRPr="006E13D1" w:rsidRDefault="00CD4C7B" w:rsidP="00CD4C7B">
      <w:pPr>
        <w:pStyle w:val="Heading1"/>
      </w:pPr>
      <w:r w:rsidRPr="006E13D1">
        <w:lastRenderedPageBreak/>
        <w:t>3</w:t>
      </w:r>
      <w:r w:rsidRPr="006E13D1">
        <w:tab/>
      </w:r>
      <w:r w:rsidR="00FB70E4">
        <w:t xml:space="preserve">Assistance information based on expected </w:t>
      </w:r>
      <w:r w:rsidR="00AA1D98">
        <w:t>performance</w:t>
      </w:r>
      <w:r w:rsidR="00FB70E4">
        <w:t xml:space="preserve"> indicators</w:t>
      </w:r>
    </w:p>
    <w:p w:rsidR="00AA1D98" w:rsidRDefault="00AA1D98" w:rsidP="00AA1D98">
      <w:r>
        <w:t xml:space="preserve">We propose to </w:t>
      </w:r>
      <w:r w:rsidR="00FB70E4">
        <w:t>include to</w:t>
      </w:r>
      <w:r>
        <w:t xml:space="preserve"> the LTE/NR tight interworking capability some assistance information so that the network nodes are able to use the information during the negotiation process of arriving at the LTE/NR t</w:t>
      </w:r>
      <w:r w:rsidR="000D0C82">
        <w:t>ight interworking configuration (see [2] for discussion on the capability and coordination aspects):</w:t>
      </w:r>
    </w:p>
    <w:p w:rsidR="00CD4C7B" w:rsidRPr="006E13D1" w:rsidRDefault="00CD4C7B" w:rsidP="00CD4C7B">
      <w:r w:rsidRPr="006E13D1">
        <w:t xml:space="preserve"> </w:t>
      </w:r>
      <w:r w:rsidR="00AA788A">
        <w:object w:dxaOrig="10768" w:dyaOrig="6608">
          <v:shape id="_x0000_i1026" type="#_x0000_t75" style="width:467.55pt;height:286.15pt" o:ole="">
            <v:imagedata r:id="rId9" o:title=""/>
          </v:shape>
          <o:OLEObject Type="Embed" ProgID="Visio.Drawing.11" ShapeID="_x0000_i1026" DrawAspect="Content" ObjectID="_1545155218" r:id="rId10"/>
        </w:object>
      </w:r>
    </w:p>
    <w:p w:rsidR="00CD4C7B" w:rsidRDefault="00CD4C7B" w:rsidP="00CD4C7B">
      <w:pPr>
        <w:pStyle w:val="TF"/>
      </w:pPr>
      <w:r w:rsidRPr="006E13D1">
        <w:t xml:space="preserve">Figure </w:t>
      </w:r>
      <w:r w:rsidR="00FB70E4">
        <w:t>2</w:t>
      </w:r>
      <w:r w:rsidRPr="006E13D1">
        <w:t xml:space="preserve">: </w:t>
      </w:r>
      <w:r w:rsidR="00FB70E4">
        <w:t>Performance indicator for LTE/NR tight interworking</w:t>
      </w:r>
    </w:p>
    <w:p w:rsidR="00AA788A" w:rsidRDefault="00AA788A" w:rsidP="00AA788A">
      <w:r>
        <w:t>The basic procedure in Figure 2 comprise of the following steps:</w:t>
      </w:r>
    </w:p>
    <w:p w:rsidR="00AA788A" w:rsidRDefault="00AA788A" w:rsidP="00AA788A">
      <w:pPr>
        <w:pStyle w:val="ListParagraph"/>
        <w:numPr>
          <w:ilvl w:val="0"/>
          <w:numId w:val="5"/>
        </w:numPr>
      </w:pPr>
      <w:r w:rsidRPr="00AA788A">
        <w:rPr>
          <w:b/>
        </w:rPr>
        <w:t xml:space="preserve">Step 0: </w:t>
      </w:r>
      <w:r>
        <w:t xml:space="preserve">The UE capabilities for tight interworking contain some additional information which indicate the maximal performance for the other system pertaining to a given combination. E.g., </w:t>
      </w:r>
    </w:p>
    <w:p w:rsidR="00AA788A" w:rsidRDefault="00AA788A" w:rsidP="00AA788A">
      <w:pPr>
        <w:pStyle w:val="ListParagraph"/>
        <w:numPr>
          <w:ilvl w:val="1"/>
          <w:numId w:val="5"/>
        </w:numPr>
      </w:pPr>
      <w:r>
        <w:t xml:space="preserve">The indication may refer to an index into a description table which contains detailed parameters describing the performance of the configuration of the other system (in terms </w:t>
      </w:r>
      <w:r w:rsidR="005F1F6B">
        <w:t xml:space="preserve">of </w:t>
      </w:r>
      <w:r>
        <w:t xml:space="preserve">throughput as an example). </w:t>
      </w:r>
    </w:p>
    <w:p w:rsidR="00AA788A" w:rsidRDefault="00AA788A" w:rsidP="00AA788A">
      <w:pPr>
        <w:pStyle w:val="ListParagraph"/>
        <w:numPr>
          <w:ilvl w:val="0"/>
          <w:numId w:val="5"/>
        </w:numPr>
      </w:pPr>
      <w:r w:rsidRPr="00AA788A">
        <w:rPr>
          <w:b/>
        </w:rPr>
        <w:t xml:space="preserve">Step 1: </w:t>
      </w:r>
      <w:r>
        <w:t xml:space="preserve">When master node requests LTE/NR tight interworking, it uses the UE capability information to determine whether a given tight interworking band combination can meet the expected performance. </w:t>
      </w:r>
    </w:p>
    <w:p w:rsidR="00AA788A" w:rsidRDefault="00AA788A" w:rsidP="00AA788A">
      <w:pPr>
        <w:pStyle w:val="ListParagraph"/>
        <w:numPr>
          <w:ilvl w:val="0"/>
          <w:numId w:val="5"/>
        </w:numPr>
      </w:pPr>
      <w:r w:rsidRPr="00AA788A">
        <w:rPr>
          <w:b/>
        </w:rPr>
        <w:t xml:space="preserve">Step 2: </w:t>
      </w:r>
      <w:r>
        <w:t xml:space="preserve">The master node indicates with an explicit query within the LTE/NR tight interworking request what the desired performance from the secondary node is. </w:t>
      </w:r>
    </w:p>
    <w:p w:rsidR="00AA788A" w:rsidRDefault="00AA788A" w:rsidP="00AA788A">
      <w:pPr>
        <w:pStyle w:val="ListParagraph"/>
        <w:numPr>
          <w:ilvl w:val="0"/>
          <w:numId w:val="5"/>
        </w:numPr>
      </w:pPr>
      <w:r w:rsidRPr="00AA788A">
        <w:rPr>
          <w:b/>
        </w:rPr>
        <w:t xml:space="preserve">Step </w:t>
      </w:r>
      <w:r>
        <w:rPr>
          <w:b/>
        </w:rPr>
        <w:t>3</w:t>
      </w:r>
      <w:r w:rsidRPr="00AA788A">
        <w:rPr>
          <w:b/>
        </w:rPr>
        <w:t xml:space="preserve">: </w:t>
      </w:r>
      <w:r>
        <w:t xml:space="preserve">The secondary node uses the configuration from master node and the requested performance assistance information to determine which configuration to choose. </w:t>
      </w:r>
    </w:p>
    <w:p w:rsidR="00AA788A" w:rsidRDefault="00AA788A" w:rsidP="00AA788A">
      <w:pPr>
        <w:pStyle w:val="ListParagraph"/>
        <w:numPr>
          <w:ilvl w:val="0"/>
          <w:numId w:val="5"/>
        </w:numPr>
      </w:pPr>
      <w:r w:rsidRPr="00AA788A">
        <w:rPr>
          <w:b/>
        </w:rPr>
        <w:t xml:space="preserve">Step 4: </w:t>
      </w:r>
      <w:r>
        <w:t>When accepting the request, the secondary node indicates its view of the expected performance of the configuration to the master node.</w:t>
      </w:r>
    </w:p>
    <w:p w:rsidR="00AA788A" w:rsidRDefault="00AA788A" w:rsidP="00AA788A">
      <w:pPr>
        <w:pStyle w:val="ListParagraph"/>
        <w:numPr>
          <w:ilvl w:val="0"/>
          <w:numId w:val="5"/>
        </w:numPr>
      </w:pPr>
      <w:r>
        <w:t>Step 5: The master node proceeds with the LTE/NR configuration selection based on the response. The master node may request UE to provide updated measured performance information of NR performance, and also may in turn provide master node performance information to secondary node.</w:t>
      </w:r>
    </w:p>
    <w:p w:rsidR="00AA788A" w:rsidRDefault="00AA788A" w:rsidP="00AA788A">
      <w:pPr>
        <w:ind w:left="360"/>
      </w:pPr>
      <w:r>
        <w:t xml:space="preserve">Both master and secondary nodes can request periodic updates of measured performance </w:t>
      </w:r>
      <w:r w:rsidR="00433B58">
        <w:t>information</w:t>
      </w:r>
      <w:r>
        <w:t xml:space="preserve"> for the purposes of monitoring how well the LTE-NR is performing.</w:t>
      </w:r>
    </w:p>
    <w:p w:rsidR="00AA788A" w:rsidRPr="006E13D1" w:rsidRDefault="00AA788A" w:rsidP="00AA788A">
      <w:pPr>
        <w:pStyle w:val="TF"/>
        <w:jc w:val="left"/>
      </w:pPr>
    </w:p>
    <w:p w:rsidR="00CD4C7B" w:rsidRPr="006E13D1" w:rsidRDefault="00CD4C7B" w:rsidP="00CD4C7B">
      <w:pPr>
        <w:pStyle w:val="Heading1"/>
      </w:pPr>
      <w:r w:rsidRPr="006E13D1">
        <w:lastRenderedPageBreak/>
        <w:t>4</w:t>
      </w:r>
      <w:r w:rsidRPr="006E13D1">
        <w:tab/>
      </w:r>
      <w:r w:rsidR="00AA1D98">
        <w:t>Conclusion</w:t>
      </w:r>
    </w:p>
    <w:p w:rsidR="00CD4C7B" w:rsidRDefault="00433B58" w:rsidP="00CD4C7B">
      <w:r>
        <w:t xml:space="preserve">In this contribution we have discussed a simple solution of how the master node may be able to estimate whether LTE/NR tight interworking should be attempted for a given configuration, especially with the working assumption that case the master and secondary nodes are not required to understand/comprehend each other’s capabilities. We propose </w:t>
      </w:r>
      <w:r w:rsidR="005F1F6B">
        <w:t>the following:</w:t>
      </w:r>
    </w:p>
    <w:p w:rsidR="005F1F6B" w:rsidRDefault="005F1F6B" w:rsidP="00CD4C7B">
      <w:pPr>
        <w:rPr>
          <w:b/>
        </w:rPr>
      </w:pPr>
      <w:r w:rsidRPr="005F1F6B">
        <w:rPr>
          <w:b/>
        </w:rPr>
        <w:t>Proposal</w:t>
      </w:r>
      <w:r>
        <w:rPr>
          <w:b/>
        </w:rPr>
        <w:t xml:space="preserve"> 1</w:t>
      </w:r>
      <w:r w:rsidRPr="005F1F6B">
        <w:rPr>
          <w:b/>
        </w:rPr>
        <w:t>:</w:t>
      </w:r>
      <w:r>
        <w:rPr>
          <w:b/>
        </w:rPr>
        <w:t xml:space="preserve"> Include performance indication information as part of the UE capability for LTE/NR tight interworking. </w:t>
      </w:r>
    </w:p>
    <w:p w:rsidR="005F1F6B" w:rsidRPr="005F1F6B" w:rsidRDefault="005F1F6B" w:rsidP="00CD4C7B">
      <w:pPr>
        <w:rPr>
          <w:b/>
        </w:rPr>
      </w:pPr>
      <w:r w:rsidRPr="005F1F6B">
        <w:rPr>
          <w:b/>
        </w:rPr>
        <w:t>Proposal</w:t>
      </w:r>
      <w:r>
        <w:rPr>
          <w:b/>
        </w:rPr>
        <w:t xml:space="preserve"> 2</w:t>
      </w:r>
      <w:r w:rsidRPr="005F1F6B">
        <w:rPr>
          <w:b/>
        </w:rPr>
        <w:t>:</w:t>
      </w:r>
      <w:r>
        <w:rPr>
          <w:b/>
        </w:rPr>
        <w:t xml:space="preserve"> Exchange performance indication information between master and secondary nodes in LTE/NR tight interworking procedures.</w:t>
      </w:r>
    </w:p>
    <w:p w:rsidR="00CD4C7B" w:rsidRPr="006E13D1" w:rsidRDefault="00CD4C7B" w:rsidP="00CD4C7B">
      <w:pPr>
        <w:pStyle w:val="Heading1"/>
      </w:pPr>
      <w:r w:rsidRPr="006E13D1">
        <w:t>References</w:t>
      </w:r>
    </w:p>
    <w:p w:rsidR="00F71DBF" w:rsidRDefault="00F71DBF" w:rsidP="00F71DBF">
      <w:pPr>
        <w:numPr>
          <w:ilvl w:val="0"/>
          <w:numId w:val="4"/>
        </w:numPr>
        <w:spacing w:after="200"/>
        <w:jc w:val="both"/>
      </w:pPr>
      <w:bookmarkStart w:id="2" w:name="_Ref75086397"/>
      <w:r>
        <w:t xml:space="preserve">RP-161266: </w:t>
      </w:r>
      <w:r w:rsidRPr="008D1F94">
        <w:t>5G architecture options – full set</w:t>
      </w:r>
      <w:r>
        <w:t xml:space="preserve">, </w:t>
      </w:r>
      <w:r w:rsidRPr="008D1F94">
        <w:rPr>
          <w:i/>
        </w:rPr>
        <w:t>Deutsche Telekom AG</w:t>
      </w:r>
    </w:p>
    <w:p w:rsidR="00CD4C7B" w:rsidRPr="006E13D1" w:rsidRDefault="00F71DBF" w:rsidP="00CD4C7B">
      <w:pPr>
        <w:numPr>
          <w:ilvl w:val="0"/>
          <w:numId w:val="4"/>
        </w:numPr>
        <w:overflowPunct w:val="0"/>
        <w:autoSpaceDE w:val="0"/>
        <w:autoSpaceDN w:val="0"/>
        <w:adjustRightInd w:val="0"/>
        <w:textAlignment w:val="baseline"/>
      </w:pPr>
      <w:r w:rsidRPr="00520350">
        <w:t>R2-166243</w:t>
      </w:r>
      <w:r w:rsidRPr="006E13D1">
        <w:t xml:space="preserve">, </w:t>
      </w:r>
      <w:r w:rsidRPr="00520350">
        <w:rPr>
          <w:i/>
          <w:iCs/>
        </w:rPr>
        <w:t>On UE capability and network node coordination aspects in LTE-NR tight interworking</w:t>
      </w:r>
      <w:r w:rsidRPr="006E13D1">
        <w:t xml:space="preserve">, </w:t>
      </w:r>
      <w:bookmarkEnd w:id="2"/>
      <w:r w:rsidRPr="00520350">
        <w:t>Nokia, Alcatel-Lucent Shanghai Bell</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F7C" w:rsidRDefault="00373F7C">
      <w:r>
        <w:separator/>
      </w:r>
    </w:p>
  </w:endnote>
  <w:endnote w:type="continuationSeparator" w:id="0">
    <w:p w:rsidR="00373F7C" w:rsidRDefault="0037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F7C" w:rsidRDefault="00373F7C">
      <w:r>
        <w:separator/>
      </w:r>
    </w:p>
  </w:footnote>
  <w:footnote w:type="continuationSeparator" w:id="0">
    <w:p w:rsidR="00373F7C" w:rsidRDefault="00373F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16D4C"/>
    <w:multiLevelType w:val="hybridMultilevel"/>
    <w:tmpl w:val="9E9A16EE"/>
    <w:lvl w:ilvl="0" w:tplc="3A2ABB4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0C82"/>
    <w:rsid w:val="000D58AB"/>
    <w:rsid w:val="00103C86"/>
    <w:rsid w:val="001741A0"/>
    <w:rsid w:val="00194CD0"/>
    <w:rsid w:val="001B49C9"/>
    <w:rsid w:val="001F168B"/>
    <w:rsid w:val="001F7831"/>
    <w:rsid w:val="00204045"/>
    <w:rsid w:val="0022606D"/>
    <w:rsid w:val="002747EC"/>
    <w:rsid w:val="002855BF"/>
    <w:rsid w:val="002F0D22"/>
    <w:rsid w:val="003172DC"/>
    <w:rsid w:val="00326069"/>
    <w:rsid w:val="0035462D"/>
    <w:rsid w:val="00373F7C"/>
    <w:rsid w:val="003B40AD"/>
    <w:rsid w:val="003C4E37"/>
    <w:rsid w:val="003E16BE"/>
    <w:rsid w:val="00401855"/>
    <w:rsid w:val="00433B58"/>
    <w:rsid w:val="00477455"/>
    <w:rsid w:val="004D3578"/>
    <w:rsid w:val="004D380D"/>
    <w:rsid w:val="004E213A"/>
    <w:rsid w:val="00503171"/>
    <w:rsid w:val="00506C28"/>
    <w:rsid w:val="00534DA0"/>
    <w:rsid w:val="00543E6C"/>
    <w:rsid w:val="00565087"/>
    <w:rsid w:val="0056573F"/>
    <w:rsid w:val="00577E94"/>
    <w:rsid w:val="005F1F6B"/>
    <w:rsid w:val="00611566"/>
    <w:rsid w:val="00646D99"/>
    <w:rsid w:val="00656910"/>
    <w:rsid w:val="006C66D8"/>
    <w:rsid w:val="006D1E24"/>
    <w:rsid w:val="006E1417"/>
    <w:rsid w:val="006F6A2C"/>
    <w:rsid w:val="00734A5B"/>
    <w:rsid w:val="00737F86"/>
    <w:rsid w:val="00744E76"/>
    <w:rsid w:val="00757D40"/>
    <w:rsid w:val="00781F0F"/>
    <w:rsid w:val="0078727C"/>
    <w:rsid w:val="0079049D"/>
    <w:rsid w:val="007B18D8"/>
    <w:rsid w:val="007C095F"/>
    <w:rsid w:val="008028A4"/>
    <w:rsid w:val="008768CA"/>
    <w:rsid w:val="00877EF9"/>
    <w:rsid w:val="00880559"/>
    <w:rsid w:val="0090271F"/>
    <w:rsid w:val="00936071"/>
    <w:rsid w:val="0094277F"/>
    <w:rsid w:val="00942EC2"/>
    <w:rsid w:val="00961B32"/>
    <w:rsid w:val="00974BB0"/>
    <w:rsid w:val="009A0AF3"/>
    <w:rsid w:val="009B07CD"/>
    <w:rsid w:val="009C19E9"/>
    <w:rsid w:val="00A10F02"/>
    <w:rsid w:val="00A53724"/>
    <w:rsid w:val="00A82346"/>
    <w:rsid w:val="00A9671C"/>
    <w:rsid w:val="00AA1D98"/>
    <w:rsid w:val="00AA788A"/>
    <w:rsid w:val="00B15449"/>
    <w:rsid w:val="00B47FD1"/>
    <w:rsid w:val="00B77A39"/>
    <w:rsid w:val="00C12B51"/>
    <w:rsid w:val="00C24650"/>
    <w:rsid w:val="00C33079"/>
    <w:rsid w:val="00C6259F"/>
    <w:rsid w:val="00C83A13"/>
    <w:rsid w:val="00C92284"/>
    <w:rsid w:val="00CA3D0C"/>
    <w:rsid w:val="00CA654B"/>
    <w:rsid w:val="00CD4C7B"/>
    <w:rsid w:val="00D738D6"/>
    <w:rsid w:val="00D80795"/>
    <w:rsid w:val="00D87E00"/>
    <w:rsid w:val="00D9134D"/>
    <w:rsid w:val="00D96D11"/>
    <w:rsid w:val="00DA7A03"/>
    <w:rsid w:val="00DB1818"/>
    <w:rsid w:val="00DC309B"/>
    <w:rsid w:val="00DC4DA2"/>
    <w:rsid w:val="00E62835"/>
    <w:rsid w:val="00E77645"/>
    <w:rsid w:val="00E83697"/>
    <w:rsid w:val="00E84FE6"/>
    <w:rsid w:val="00EC4A25"/>
    <w:rsid w:val="00F025A2"/>
    <w:rsid w:val="00F07388"/>
    <w:rsid w:val="00F2026E"/>
    <w:rsid w:val="00F2210A"/>
    <w:rsid w:val="00F37743"/>
    <w:rsid w:val="00F54A3D"/>
    <w:rsid w:val="00F653B8"/>
    <w:rsid w:val="00F71B89"/>
    <w:rsid w:val="00F71DBF"/>
    <w:rsid w:val="00F7353C"/>
    <w:rsid w:val="00F76F8F"/>
    <w:rsid w:val="00FA1266"/>
    <w:rsid w:val="00FB70E4"/>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427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4277F"/>
    <w:rPr>
      <w:rFonts w:ascii="Arial" w:eastAsia="MS Mincho" w:hAnsi="Arial"/>
      <w:szCs w:val="24"/>
    </w:rPr>
  </w:style>
  <w:style w:type="paragraph" w:styleId="ListParagraph">
    <w:name w:val="List Paragraph"/>
    <w:basedOn w:val="Normal"/>
    <w:uiPriority w:val="34"/>
    <w:qFormat/>
    <w:rsid w:val="00AA78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85</TotalTime>
  <Pages>1</Pages>
  <Words>518</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19</cp:revision>
  <dcterms:created xsi:type="dcterms:W3CDTF">2016-08-12T03:53:00Z</dcterms:created>
  <dcterms:modified xsi:type="dcterms:W3CDTF">2017-01-05T19:00:00Z</dcterms:modified>
</cp:coreProperties>
</file>